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Стоматология общей практики</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05:55 МСК · База обновлена: 25.07.2026, 05:33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Стоматология общей практики</w:t>
      </w:r>
    </w:p>
    <w:p>
      <w:pPr>
        <w:pStyle w:val="Heading2"/>
      </w:pPr>
      <w:r>
        <w:t>1. УСЛОВИЕ СИТУАЦИОННОЙ ЗАДАЧИ</w:t>
      </w:r>
    </w:p>
    <w:p>
      <w:pPr>
        <w:pStyle w:val="Heading3"/>
      </w:pPr>
      <w:r>
        <w:t>1.1. Ситуация</w:t>
      </w:r>
    </w:p>
    <w:p>
      <w:pPr>
        <w:spacing w:after="58"/>
      </w:pPr>
      <w:r>
        <w:rPr>
          <w:b w:val="0"/>
          <w:i w:val="0"/>
        </w:rPr>
        <w:t>На приём к врачу-стоматологу обратилась пациентка 29 лет.</w:t>
      </w:r>
    </w:p>
    <w:p>
      <w:pPr>
        <w:pStyle w:val="Heading3"/>
      </w:pPr>
      <w:r>
        <w:t>1.2. Жалобы</w:t>
      </w:r>
    </w:p>
    <w:p>
      <w:pPr>
        <w:spacing w:after="58"/>
      </w:pPr>
      <w:r>
        <w:rPr>
          <w:b w:val="0"/>
          <w:i w:val="0"/>
        </w:rPr>
        <w:t>на</w:t>
      </w:r>
    </w:p>
    <w:p>
      <w:pPr>
        <w:spacing w:after="58"/>
      </w:pPr>
      <w:r>
        <w:rPr>
          <w:b w:val="0"/>
          <w:i w:val="0"/>
        </w:rPr>
        <w:t>* кровоточивость десен во время чистки зубов.</w:t>
      </w:r>
    </w:p>
    <w:p>
      <w:pPr>
        <w:pStyle w:val="Heading3"/>
      </w:pPr>
      <w:r>
        <w:t>1.3. Анамнез заболевания</w:t>
      </w:r>
    </w:p>
    <w:p>
      <w:pPr>
        <w:spacing w:after="58"/>
      </w:pPr>
      <w:r>
        <w:rPr>
          <w:b w:val="0"/>
          <w:i w:val="0"/>
        </w:rPr>
        <w:t>* Кровоточивость периодически усиливается, беспокоит около полугода.</w:t>
      </w:r>
    </w:p>
    <w:p>
      <w:pPr>
        <w:spacing w:after="58"/>
      </w:pPr>
      <w:r>
        <w:rPr>
          <w:b w:val="0"/>
          <w:i w:val="0"/>
        </w:rPr>
        <w:t>* В последние две недели болезненность и кровоточивость десен усилились.</w:t>
      </w:r>
    </w:p>
    <w:p>
      <w:pPr>
        <w:pStyle w:val="Heading3"/>
      </w:pPr>
      <w:r>
        <w:t>1.4. Анамнез жизни</w:t>
      </w:r>
    </w:p>
    <w:p>
      <w:pPr>
        <w:spacing w:after="58"/>
      </w:pPr>
      <w:r>
        <w:rPr>
          <w:b w:val="0"/>
          <w:i w:val="0"/>
        </w:rPr>
        <w:t>* Аллергические реакции отрицает.</w:t>
      </w:r>
    </w:p>
    <w:p>
      <w:pPr>
        <w:spacing w:after="58"/>
      </w:pPr>
      <w:r>
        <w:rPr>
          <w:b w:val="0"/>
          <w:i w:val="0"/>
        </w:rPr>
        <w:t>* Наличие инфекционных заболеваний (ВИЧ, сифилис, гепатит) отрицает.</w:t>
      </w:r>
    </w:p>
    <w:p>
      <w:pPr>
        <w:spacing w:after="58"/>
      </w:pPr>
      <w:r>
        <w:rPr>
          <w:b w:val="0"/>
          <w:i w:val="0"/>
        </w:rPr>
        <w:t>* Вредные привычки отрицает.</w:t>
      </w:r>
    </w:p>
    <w:p>
      <w:pPr>
        <w:pStyle w:val="Heading3"/>
      </w:pPr>
      <w:r>
        <w:t>1.5. Объективный статус</w:t>
      </w:r>
    </w:p>
    <w:p>
      <w:pPr>
        <w:spacing w:after="58"/>
      </w:pPr>
      <w:r>
        <w:rPr>
          <w:b w:val="0"/>
          <w:i w:val="0"/>
        </w:rPr>
        <w:t>*Внешний осмотр:* общее состояние удовлетворительное, лицо симметрично, регионарные лимфоузлы нормальных размеров, безболезненны, не спаяны с подлежащими тканями, кожные покровы физиологической окраски, открывание рта свободное.</w:t>
      </w:r>
    </w:p>
    <w:p>
      <w:pPr>
        <w:spacing w:after="58"/>
      </w:pPr>
      <w:r>
        <w:rPr>
          <w:b w:val="0"/>
          <w:i w:val="0"/>
        </w:rPr>
        <w:t>*Зубная формула:*</w:t>
      </w:r>
    </w:p>
    <w:tbl>
      <w:tblPr>
        <w:tblStyle w:val="TableGrid"/>
        <w:tblW w:type="auto" w:w="0"/>
        <w:tblLook w:firstColumn="1" w:firstRow="1" w:lastColumn="0" w:lastRow="0" w:noHBand="0" w:noVBand="1" w:val="04A0"/>
      </w:tblPr>
      <w:tblGrid>
        <w:gridCol w:w="675"/>
        <w:gridCol w:w="675"/>
        <w:gridCol w:w="675"/>
        <w:gridCol w:w="675"/>
        <w:gridCol w:w="675"/>
        <w:gridCol w:w="675"/>
        <w:gridCol w:w="675"/>
        <w:gridCol w:w="675"/>
        <w:gridCol w:w="675"/>
        <w:gridCol w:w="675"/>
        <w:gridCol w:w="675"/>
        <w:gridCol w:w="675"/>
        <w:gridCol w:w="675"/>
        <w:gridCol w:w="675"/>
        <w:gridCol w:w="675"/>
      </w:tblGrid>
      <w:tr>
        <w:trPr>
          <w:tblHeader w:val="true"/>
        </w:trPr>
        <w:tc>
          <w:tcPr>
            <w:tcW w:type="dxa" w:w="675"/>
          </w:tcPr>
          <w:p>
            <w:r>
              <w:rPr>
                <w:b/>
                <w:i w:val="0"/>
              </w:rPr>
              <w:t>П</w:t>
            </w:r>
          </w:p>
        </w:tc>
        <w:tc>
          <w:tcPr>
            <w:tcW w:type="dxa" w:w="675"/>
          </w:tcPr>
          <w:p>
            <w:r>
              <w:rPr>
                <w:b/>
                <w:i w:val="0"/>
              </w:rPr>
              <w:t>С</w:t>
            </w: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r>
              <w:rPr>
                <w:b/>
                <w:i w:val="0"/>
              </w:rPr>
              <w:t>1.8|1.7|</w:t>
            </w:r>
          </w:p>
        </w:tc>
      </w:tr>
      <w:tr>
        <w:tc>
          <w:tcPr>
            <w:tcW w:type="dxa" w:w="675"/>
          </w:tcPr>
          <w:p>
            <w:r>
              <w:rPr>
                <w:b w:val="0"/>
                <w:i w:val="0"/>
              </w:rPr>
              <w:t>1.5</w:t>
            </w:r>
          </w:p>
        </w:tc>
        <w:tc>
          <w:tcPr>
            <w:tcW w:type="dxa" w:w="675"/>
          </w:tcPr>
          <w:p>
            <w:r>
              <w:rPr>
                <w:b w:val="0"/>
                <w:i w:val="0"/>
              </w:rPr>
              <w:t>1.4|1.3|1.2|1.1</w:t>
            </w:r>
          </w:p>
        </w:tc>
        <w:tc>
          <w:tcPr>
            <w:tcW w:type="dxa" w:w="675"/>
          </w:tcPr>
          <w:p>
            <w:r>
              <w:rPr>
                <w:b w:val="0"/>
                <w:i w:val="0"/>
              </w:rPr>
              <w:t>2.1|2.2|2.3|2.4|2.5</w:t>
            </w:r>
          </w:p>
        </w:tc>
        <w:tc>
          <w:tcPr>
            <w:tcW w:type="dxa" w:w="675"/>
          </w:tcPr>
          <w:p>
            <w:r>
              <w:rPr>
                <w:b w:val="0"/>
                <w:i w:val="0"/>
              </w:rPr>
              <w:t>2.6|2.7|2.8</w:t>
            </w:r>
          </w:p>
        </w:tc>
        <w:tc>
          <w:tcPr>
            <w:tcW w:type="dxa" w:w="675"/>
          </w:tcPr>
          <w:p>
            <w:r>
              <w:rPr>
                <w:b w:val="0"/>
                <w:i w:val="0"/>
              </w:rPr>
              <w:t>4.8|4.7</w:t>
            </w:r>
          </w:p>
        </w:tc>
        <w:tc>
          <w:tcPr>
            <w:tcW w:type="dxa" w:w="675"/>
          </w:tcPr>
          <w:p>
            <w:r>
              <w:rPr>
                <w:b w:val="0"/>
                <w:i w:val="0"/>
              </w:rPr>
              <w:t>4.6|4.5</w:t>
            </w:r>
          </w:p>
        </w:tc>
        <w:tc>
          <w:tcPr>
            <w:tcW w:type="dxa" w:w="675"/>
          </w:tcPr>
          <w:p>
            <w:r>
              <w:rPr>
                <w:b w:val="0"/>
                <w:i w:val="0"/>
              </w:rPr>
              <w:t>4.4|4.3|4.2|4.1</w:t>
            </w:r>
          </w:p>
        </w:tc>
        <w:tc>
          <w:tcPr>
            <w:tcW w:type="dxa" w:w="675"/>
          </w:tcPr>
          <w:p>
            <w:r>
              <w:rPr>
                <w:b w:val="0"/>
                <w:i w:val="0"/>
              </w:rPr>
              <w:t>3.1|3.2</w:t>
            </w:r>
          </w:p>
        </w:tc>
        <w:tc>
          <w:tcPr>
            <w:tcW w:type="dxa" w:w="675"/>
          </w:tcPr>
          <w:p>
            <w:r>
              <w:rPr>
                <w:b w:val="0"/>
                <w:i w:val="0"/>
              </w:rPr>
              <w:t>3.3|3.4</w:t>
            </w:r>
          </w:p>
        </w:tc>
        <w:tc>
          <w:tcPr>
            <w:tcW w:type="dxa" w:w="675"/>
          </w:tcPr>
          <w:p>
            <w:r>
              <w:rPr>
                <w:b w:val="0"/>
                <w:i w:val="0"/>
              </w:rPr>
              <w:t>3.5|3.6</w:t>
            </w:r>
          </w:p>
        </w:tc>
        <w:tc>
          <w:tcPr>
            <w:tcW w:type="dxa" w:w="675"/>
          </w:tcPr>
          <w:p>
            <w:r>
              <w:rPr>
                <w:b w:val="0"/>
                <w:i w:val="0"/>
              </w:rPr>
              <w:t>3.7|3.8</w:t>
            </w:r>
          </w:p>
        </w:tc>
        <w:tc>
          <w:tcPr>
            <w:tcW w:type="dxa" w:w="675"/>
          </w:tcPr>
          <w:p>
            <w:r>
              <w:rPr>
                <w:b w:val="0"/>
                <w:i w:val="0"/>
              </w:rPr>
              <w:t>К</w:t>
            </w:r>
          </w:p>
        </w:tc>
        <w:tc>
          <w:tcPr>
            <w:tcW w:type="dxa" w:w="675"/>
          </w:tcPr>
          <w:p>
            <w:r>
              <w:rPr>
                <w:b w:val="0"/>
                <w:i w:val="0"/>
              </w:rPr>
              <w:t>С</w:t>
            </w:r>
          </w:p>
        </w:tc>
        <w:tc>
          <w:tcPr>
            <w:tcW w:type="dxa" w:w="675"/>
          </w:tcPr>
          <w:p/>
        </w:tc>
        <w:tc>
          <w:tcPr>
            <w:tcW w:type="dxa" w:w="675"/>
          </w:tcPr>
          <w:p/>
        </w:tc>
      </w:tr>
      <w:tr>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tc>
        <w:tc>
          <w:tcPr>
            <w:tcW w:type="dxa" w:w="675"/>
          </w:tcPr>
          <w:p>
            <w:r>
              <w:rPr>
                <w:b w:val="0"/>
                <w:i w:val="0"/>
              </w:rPr>
              <w:t>П</w:t>
            </w:r>
          </w:p>
        </w:tc>
        <w:tc>
          <w:tcPr>
            <w:tcW w:type="dxa" w:w="675"/>
          </w:tcPr>
          <w:p/>
        </w:tc>
        <w:tc>
          <w:tcPr>
            <w:tcW w:type="dxa" w:w="675"/>
          </w:tcPr>
          <w:p/>
        </w:tc>
        <w:tc>
          <w:tcPr>
            <w:tcW w:type="dxa" w:w="675"/>
          </w:tcPr>
          <w:p/>
        </w:tc>
        <w:tc>
          <w:tcPr>
            <w:tcW w:type="dxa" w:w="675"/>
          </w:tcPr>
          <w:p/>
        </w:tc>
        <w:tc>
          <w:tcPr>
            <w:tcW w:type="dxa" w:w="675"/>
          </w:tcPr>
          <w:p/>
        </w:tc>
        <w:tc>
          <w:tcPr>
            <w:tcW w:type="dxa" w:w="675"/>
          </w:tcPr>
          <w:p/>
        </w:tc>
      </w:tr>
    </w:tbl>
    <w:p/>
    <w:p>
      <w:pPr>
        <w:spacing w:after="58"/>
      </w:pPr>
      <w:r>
        <w:rPr>
          <w:b w:val="0"/>
          <w:i w:val="0"/>
        </w:rPr>
        <w:t>*Осмотр полости рта:* слизистая оболочка рта, дёсен, альвеолярных отростков и нёба бледно-розового цвета, умеренно увлажнена.</w:t>
      </w:r>
    </w:p>
    <w:p>
      <w:pPr>
        <w:spacing w:after="58"/>
      </w:pPr>
      <w:r>
        <w:rPr>
          <w:b w:val="0"/>
          <w:i w:val="0"/>
        </w:rPr>
        <w:t>*Прикус:* физиологический.</w:t>
      </w:r>
    </w:p>
    <w:p>
      <w:pPr>
        <w:spacing w:after="58"/>
      </w:pPr>
      <w:r>
        <w:rPr>
          <w:b w:val="0"/>
          <w:i w:val="0"/>
        </w:rPr>
        <w:t>Слизистая оболочка десны гиперемирована, отечна, гигиенический индекс Cилнесс-Лое = 3.0.</w:t>
      </w:r>
    </w:p>
    <w:p>
      <w:pPr>
        <w:pStyle w:val="Heading2"/>
      </w:pPr>
      <w:r>
        <w:t>1. План обследования</w:t>
      </w:r>
    </w:p>
    <w:p>
      <w:pPr>
        <w:pStyle w:val="Heading3"/>
        <w:keepNext/>
      </w:pPr>
      <w:r>
        <w:rPr>
          <w:b/>
          <w:color w:val="173C49"/>
        </w:rPr>
        <w:t>Вопрос 1.</w:t>
      </w:r>
    </w:p>
    <w:p>
      <w:pPr>
        <w:keepNext/>
      </w:pPr>
      <w:r>
        <w:rPr>
          <w:b w:val="0"/>
          <w:i w:val="0"/>
        </w:rPr>
        <w:t>К клиническим методам обследования, необходимым для постановки диагноза в данной клинической ситуации, относят</w:t>
      </w:r>
    </w:p>
    <w:p>
      <w:pPr>
        <w:tabs>
          <w:tab w:pos="490" w:val="left"/>
        </w:tabs>
        <w:spacing w:after="60"/>
        <w:ind w:left="490" w:hanging="490"/>
      </w:pPr>
      <w:r>
        <w:rPr>
          <w:b/>
        </w:rPr>
        <w:t>1.</w:t>
      </w:r>
      <w:r>
        <w:tab/>
      </w:r>
      <w:r>
        <w:rPr>
          <w:b w:val="0"/>
          <w:i w:val="0"/>
        </w:rPr>
        <w:t>витальное окрашивание зуба</w:t>
      </w:r>
    </w:p>
    <w:p>
      <w:pPr>
        <w:tabs>
          <w:tab w:pos="490" w:val="left"/>
        </w:tabs>
        <w:spacing w:after="60"/>
        <w:ind w:left="490" w:hanging="490"/>
      </w:pPr>
      <w:r>
        <w:rPr>
          <w:b/>
        </w:rPr>
        <w:t>2.</w:t>
      </w:r>
      <w:r>
        <w:tab/>
      </w:r>
      <w:r>
        <w:rPr>
          <w:b w:val="0"/>
          <w:i w:val="0"/>
        </w:rPr>
        <w:t>определение уровня глюкозы в крови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сбор анамнеза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осмотр</w:t>
      </w:r>
    </w:p>
    <w:p>
      <w:pPr>
        <w:tabs>
          <w:tab w:pos="490" w:val="left"/>
        </w:tabs>
        <w:spacing w:after="60"/>
        <w:ind w:left="490" w:hanging="490"/>
      </w:pPr>
      <w:r>
        <w:rPr>
          <w:b/>
        </w:rPr>
        <w:t>5.</w:t>
      </w:r>
      <w:r>
        <w:tab/>
      </w:r>
      <w:r>
        <w:rPr>
          <w:b w:val="0"/>
          <w:i w:val="0"/>
        </w:rPr>
        <w:t>определение индекса КПУ</w:t>
      </w:r>
    </w:p>
    <w:p>
      <w:pPr>
        <w:ind w:left="288"/>
      </w:pPr>
      <w:r>
        <w:rPr>
          <w:b/>
          <w:color w:val="173C49"/>
        </w:rPr>
        <w:t xml:space="preserve">Правильные ответы: </w:t>
      </w:r>
      <w:r>
        <w:rPr>
          <w:b/>
          <w:i w:val="0"/>
        </w:rPr>
        <w:t>3 — сбор анамнеза; 4 — осмотр</w:t>
      </w:r>
    </w:p>
    <w:p>
      <w:pPr>
        <w:ind w:left="504"/>
      </w:pPr>
      <w:r>
        <w:rPr>
          <w:b w:val="0"/>
          <w:i/>
        </w:rPr>
        <w:t>При сборе анамнеза жизни выясняют вредные привычки, характер питания, аллергологический анамнез, наличие профессиональных вредностей, перенесенные и сопутствующие заболевания. Отмечают наличие у пациентов тяжелых соматических заболеваний.</w:t>
        <w:br/>
        <w:br/>
        <w:t>Уточняют, сколько лет пациент страдает этим заболеванием или когда появились первые симптомы, лечился ли ранее по поводу данного заболевания, какова была динамика заболевания после проведенного лечения. Выясняют, осуществляет ли больной надлежащий гигиенический уход за полостью рта. Когда проводилась последняя и как часто проводилась профессиональная гигиена.</w:t>
        <w:br/>
        <w:br/>
        <w:t>Требования к диагностике амбулаторно-поликлинической:</w:t>
        <w:br/>
        <w:t>(Код услуги - А01.07.001) Сбор анамнеза и жалоб при патологии полости рта, кратность выполнения – 1.</w:t>
        <w:br/>
        <w:br/>
        <w:t>КЛИНИЧЕСКИЕ РЕКОМЕНДАЦИИ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7.1.3. Требования к диагностике амбулаторно-поликлинической, п. 7.1.4. Характеристика алгоритмов и особенностей выполнения диагностических мероприятий).</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22">
        <w:r>
          <w:rPr>
            <w:color w:val="173C49"/>
            <w:u w:val="single"/>
          </w:rPr>
          <w:t>(1)</w:t>
        </w:r>
      </w:hyperlink>
    </w:p>
    <w:p>
      <w:pPr>
        <w:ind w:left="504"/>
      </w:pPr>
      <w:r>
        <w:rPr>
          <w:b w:val="0"/>
          <w:i/>
        </w:rPr>
        <w:t>При внешнем осмотре оценивают форму и конфигурацию лица, выявляют наличие отека или других патологических изменений. При осмотре полости рта оценивают состояние зубных рядов, слизистой оболочки, ее цвет, увлажненность, наличие патологических изменений.  Определяют соотношение челюстей, выявляют патологи прикуса, аномалии положения отдельных зубов, а также зубных рядов в целом, наличие трем, диастем.</w:t>
        <w:br/>
        <w:t>Требования к диагностике амбулаторно-поликлинической:</w:t>
        <w:br/>
        <w:t>(Код услуги - А01.07.002) Визуальное исследование при патологии рта, кратность выполнения – 1.</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7.1.3. Требования к диагностике амбулаторно-поликлинической, п. 7.4. Характеристика алгоритмов и особенностей выполнения диагностических мероприятий).</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23">
        <w:r>
          <w:rPr>
            <w:color w:val="173C49"/>
            <w:u w:val="single"/>
          </w:rPr>
          <w:t>(1)</w:t>
        </w:r>
      </w:hyperlink>
    </w:p>
    <w:p>
      <w:pPr>
        <w:pStyle w:val="Heading3"/>
        <w:keepNext/>
      </w:pPr>
      <w:r>
        <w:rPr>
          <w:b/>
          <w:color w:val="173C49"/>
        </w:rPr>
        <w:t>Вопрос 2.</w:t>
      </w:r>
    </w:p>
    <w:p>
      <w:pPr>
        <w:keepNext/>
      </w:pPr>
      <w:r>
        <w:rPr>
          <w:b w:val="0"/>
          <w:i w:val="0"/>
        </w:rPr>
        <w:t>К дополнительному методу обследования для постановки диагноза в данной клинической ситуации относят</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ортопантомографию</w:t>
      </w:r>
    </w:p>
    <w:p>
      <w:pPr>
        <w:tabs>
          <w:tab w:pos="490" w:val="left"/>
        </w:tabs>
        <w:spacing w:after="60"/>
        <w:ind w:left="490" w:hanging="490"/>
      </w:pPr>
      <w:r>
        <w:rPr>
          <w:b/>
        </w:rPr>
        <w:t>2.</w:t>
      </w:r>
      <w:r>
        <w:tab/>
      </w:r>
      <w:r>
        <w:rPr>
          <w:b w:val="0"/>
          <w:i w:val="0"/>
        </w:rPr>
        <w:t>сиалографию</w:t>
      </w:r>
    </w:p>
    <w:p>
      <w:pPr>
        <w:tabs>
          <w:tab w:pos="490" w:val="left"/>
        </w:tabs>
        <w:spacing w:after="60"/>
        <w:ind w:left="490" w:hanging="490"/>
      </w:pPr>
      <w:r>
        <w:rPr>
          <w:b/>
        </w:rPr>
        <w:t>3.</w:t>
      </w:r>
      <w:r>
        <w:tab/>
      </w:r>
      <w:r>
        <w:rPr>
          <w:b w:val="0"/>
          <w:i w:val="0"/>
        </w:rPr>
        <w:t>электроодонтодиагностику</w:t>
      </w:r>
    </w:p>
    <w:p>
      <w:pPr>
        <w:tabs>
          <w:tab w:pos="490" w:val="left"/>
        </w:tabs>
        <w:spacing w:after="60"/>
        <w:ind w:left="490" w:hanging="490"/>
      </w:pPr>
      <w:r>
        <w:rPr>
          <w:b/>
        </w:rPr>
        <w:t>4.</w:t>
      </w:r>
      <w:r>
        <w:tab/>
      </w:r>
      <w:r>
        <w:rPr>
          <w:b w:val="0"/>
          <w:i w:val="0"/>
        </w:rPr>
        <w:t>электромиографию</w:t>
      </w:r>
    </w:p>
    <w:p>
      <w:pPr>
        <w:ind w:left="288"/>
      </w:pPr>
      <w:r>
        <w:rPr>
          <w:b/>
          <w:color w:val="173C49"/>
        </w:rPr>
        <w:t xml:space="preserve">Правильный ответ: </w:t>
      </w:r>
      <w:r>
        <w:rPr>
          <w:b/>
          <w:i w:val="0"/>
        </w:rPr>
        <w:t>1 — ортопантомографию</w:t>
      </w:r>
    </w:p>
    <w:p>
      <w:pPr>
        <w:ind w:left="504"/>
      </w:pPr>
      <w:r>
        <w:rPr>
          <w:b w:val="0"/>
          <w:i/>
        </w:rPr>
        <w:t>При анализе рентгенограмм следует обращать внимание на форму, высоту, состояние верхушек межальвеолярных перегородок, степень минерализации губчатого вещества, состояние кортикального слоя.</w:t>
        <w:br/>
        <w:br/>
        <w:t>Требования к диагностике амбулаторно-поликлинической:</w:t>
        <w:br/>
        <w:t>(Код услуги - A06.07.004) Ортопантомография, кратность выполнения – по потребности.</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7.1.3. Требования к диагностике амбулаторно-поликлинической, п. 7.1.4. Характеристика алгоритмов и особенностей выполнения диагностических мероприятий).</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Основным диагнозом в данной клинической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Простой маргинальный гингивит</w:t>
      </w:r>
    </w:p>
    <w:p>
      <w:pPr>
        <w:tabs>
          <w:tab w:pos="490" w:val="left"/>
        </w:tabs>
        <w:spacing w:after="60"/>
        <w:ind w:left="490" w:hanging="490"/>
      </w:pPr>
      <w:r>
        <w:rPr>
          <w:b/>
        </w:rPr>
        <w:t>2.</w:t>
      </w:r>
      <w:r>
        <w:tab/>
      </w:r>
      <w:r>
        <w:rPr>
          <w:b w:val="0"/>
          <w:i w:val="0"/>
        </w:rPr>
        <w:t>Пародонтоз</w:t>
      </w:r>
    </w:p>
    <w:p>
      <w:pPr>
        <w:tabs>
          <w:tab w:pos="490" w:val="left"/>
        </w:tabs>
        <w:spacing w:after="60"/>
        <w:ind w:left="490" w:hanging="490"/>
      </w:pPr>
      <w:r>
        <w:rPr>
          <w:b/>
        </w:rPr>
        <w:t>3.</w:t>
      </w:r>
      <w:r>
        <w:tab/>
      </w:r>
      <w:r>
        <w:rPr>
          <w:b w:val="0"/>
          <w:i w:val="0"/>
        </w:rPr>
        <w:t>Хронический пародонтит</w:t>
      </w:r>
    </w:p>
    <w:p>
      <w:pPr>
        <w:tabs>
          <w:tab w:pos="490" w:val="left"/>
        </w:tabs>
        <w:spacing w:after="60"/>
        <w:ind w:left="490" w:hanging="490"/>
      </w:pPr>
      <w:r>
        <w:rPr>
          <w:b/>
        </w:rPr>
        <w:t>4.</w:t>
      </w:r>
      <w:r>
        <w:tab/>
      </w:r>
      <w:r>
        <w:rPr>
          <w:b w:val="0"/>
          <w:i w:val="0"/>
        </w:rPr>
        <w:t>Острый гингивит</w:t>
      </w:r>
    </w:p>
    <w:p>
      <w:pPr>
        <w:ind w:left="288"/>
      </w:pPr>
      <w:r>
        <w:rPr>
          <w:b/>
          <w:color w:val="173C49"/>
        </w:rPr>
        <w:t xml:space="preserve">Правильный ответ: </w:t>
      </w:r>
      <w:r>
        <w:rPr>
          <w:b/>
          <w:i w:val="0"/>
        </w:rPr>
        <w:t>1 — Простой маргинальный гингивит</w:t>
      </w:r>
    </w:p>
    <w:p>
      <w:pPr>
        <w:ind w:left="504"/>
      </w:pPr>
      <w:r>
        <w:rPr>
          <w:b w:val="0"/>
          <w:i/>
        </w:rPr>
        <w:t>Условия задачи соответствуют критериям и признакам, определяющим модель пациента «Хронический гингивит».</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 Модель пациента; п.7.1.1 Критерии и признаки, определяющие модель пациента).</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26">
        <w:r>
          <w:rPr>
            <w:color w:val="173C49"/>
            <w:u w:val="single"/>
          </w:rPr>
          <w:t>(1)</w:t>
        </w:r>
      </w:hyperlink>
    </w:p>
    <w:p>
      <w:pPr>
        <w:pStyle w:val="Heading2"/>
      </w:pPr>
      <w:r>
        <w:t>3. Лечение</w:t>
      </w:r>
    </w:p>
    <w:p>
      <w:pPr>
        <w:pStyle w:val="Heading3"/>
        <w:keepNext/>
      </w:pPr>
      <w:r>
        <w:rPr>
          <w:b/>
          <w:color w:val="173C49"/>
        </w:rPr>
        <w:t>Вопрос 4.</w:t>
      </w:r>
    </w:p>
    <w:p>
      <w:pPr>
        <w:keepNext/>
      </w:pPr>
      <w:r>
        <w:rPr>
          <w:b w:val="0"/>
          <w:i w:val="0"/>
        </w:rPr>
        <w:t>К первому этапу лечения в данной клинической ситуации относят</w:t>
      </w:r>
    </w:p>
    <w:p>
      <w:pPr>
        <w:tabs>
          <w:tab w:pos="490" w:val="left"/>
        </w:tabs>
        <w:spacing w:after="60"/>
        <w:ind w:left="490" w:hanging="490"/>
      </w:pPr>
      <w:r>
        <w:rPr>
          <w:b/>
        </w:rPr>
        <w:t>1.</w:t>
      </w:r>
      <w:r>
        <w:tab/>
      </w:r>
      <w:r>
        <w:rPr>
          <w:b w:val="0"/>
          <w:i w:val="0"/>
        </w:rPr>
        <w:t>назначение кератопластиков</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7"/>
                    <a:stretch>
                      <a:fillRect/>
                    </a:stretch>
                  </pic:blipFill>
                  <pic:spPr>
                    <a:xfrm>
                      <a:off x="0" y="0"/>
                      <a:ext cx="214884" cy="214884"/>
                    </a:xfrm>
                    <a:prstGeom prst="rect"/>
                  </pic:spPr>
                </pic:pic>
              </a:graphicData>
            </a:graphic>
          </wp:inline>
        </w:drawing>
      </w:r>
      <w:r>
        <w:tab/>
      </w:r>
      <w:r>
        <w:rPr>
          <w:b w:val="0"/>
          <w:i w:val="0"/>
        </w:rPr>
        <w:t>проведение профессиональной гигиены</w:t>
      </w:r>
    </w:p>
    <w:p>
      <w:pPr>
        <w:tabs>
          <w:tab w:pos="490" w:val="left"/>
        </w:tabs>
        <w:spacing w:after="60"/>
        <w:ind w:left="490" w:hanging="490"/>
      </w:pPr>
      <w:r>
        <w:rPr>
          <w:b/>
        </w:rPr>
        <w:t>3.</w:t>
      </w:r>
      <w:r>
        <w:tab/>
      </w:r>
      <w:r>
        <w:rPr>
          <w:b w:val="0"/>
          <w:i w:val="0"/>
        </w:rPr>
        <w:t>назначение витаминов</w:t>
      </w:r>
    </w:p>
    <w:p>
      <w:pPr>
        <w:tabs>
          <w:tab w:pos="490" w:val="left"/>
        </w:tabs>
        <w:spacing w:after="60"/>
        <w:ind w:left="490" w:hanging="490"/>
      </w:pPr>
      <w:r>
        <w:rPr>
          <w:b/>
        </w:rPr>
        <w:t>4.</w:t>
      </w:r>
      <w:r>
        <w:tab/>
      </w:r>
      <w:r>
        <w:rPr>
          <w:b w:val="0"/>
          <w:i w:val="0"/>
        </w:rPr>
        <w:t>назначение антибиотиков</w:t>
      </w:r>
    </w:p>
    <w:p>
      <w:pPr>
        <w:ind w:left="288"/>
      </w:pPr>
      <w:r>
        <w:rPr>
          <w:b/>
          <w:color w:val="173C49"/>
        </w:rPr>
        <w:t xml:space="preserve">Правильный ответ: </w:t>
      </w:r>
      <w:r>
        <w:rPr>
          <w:b/>
          <w:i w:val="0"/>
        </w:rPr>
        <w:t>2 — проведение профессиональной гигиены</w:t>
      </w:r>
    </w:p>
    <w:p>
      <w:pPr>
        <w:ind w:left="504"/>
      </w:pPr>
      <w:r>
        <w:rPr>
          <w:b w:val="0"/>
          <w:i/>
        </w:rPr>
        <w:t>Удаление мягких и твёрдых зубных отложений способствует снятию воспаления.</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28">
        <w:r>
          <w:rPr>
            <w:color w:val="173C49"/>
            <w:u w:val="single"/>
          </w:rPr>
          <w:t>(1)</w:t>
        </w:r>
      </w:hyperlink>
    </w:p>
    <w:p>
      <w:pPr>
        <w:pStyle w:val="Heading3"/>
        <w:keepNext/>
      </w:pPr>
      <w:r>
        <w:rPr>
          <w:b/>
          <w:color w:val="173C49"/>
        </w:rPr>
        <w:t>Вопрос 5.</w:t>
      </w:r>
    </w:p>
    <w:p>
      <w:pPr>
        <w:keepNext/>
      </w:pPr>
      <w:r>
        <w:rPr>
          <w:b w:val="0"/>
          <w:i w:val="0"/>
        </w:rPr>
        <w:t>В комплекс лечения данной пациентки необходимо включить</w:t>
      </w:r>
    </w:p>
    <w:p>
      <w:pPr>
        <w:tabs>
          <w:tab w:pos="490" w:val="left"/>
        </w:tabs>
        <w:spacing w:after="60"/>
        <w:ind w:left="490" w:hanging="490"/>
      </w:pPr>
      <w:r>
        <w:rPr>
          <w:b/>
        </w:rPr>
        <w:t>1.</w:t>
      </w:r>
      <w:r>
        <w:tab/>
      </w:r>
      <w:r>
        <w:rPr>
          <w:b w:val="0"/>
          <w:i w:val="0"/>
        </w:rPr>
        <w:t>остеоэктомию</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7"/>
                    <a:stretch>
                      <a:fillRect/>
                    </a:stretch>
                  </pic:blipFill>
                  <pic:spPr>
                    <a:xfrm>
                      <a:off x="0" y="0"/>
                      <a:ext cx="214884" cy="214884"/>
                    </a:xfrm>
                    <a:prstGeom prst="rect"/>
                  </pic:spPr>
                </pic:pic>
              </a:graphicData>
            </a:graphic>
          </wp:inline>
        </w:drawing>
      </w:r>
      <w:r>
        <w:tab/>
      </w:r>
      <w:r>
        <w:rPr>
          <w:b w:val="0"/>
          <w:i w:val="0"/>
        </w:rPr>
        <w:t>обучение методам индивидуальной гигиены рта</w:t>
      </w:r>
    </w:p>
    <w:p>
      <w:pPr>
        <w:tabs>
          <w:tab w:pos="490" w:val="left"/>
        </w:tabs>
        <w:spacing w:after="60"/>
        <w:ind w:left="490" w:hanging="490"/>
      </w:pPr>
      <w:r>
        <w:rPr>
          <w:b/>
        </w:rPr>
        <w:t>3.</w:t>
      </w:r>
      <w:r>
        <w:tab/>
      </w:r>
      <w:r>
        <w:rPr>
          <w:b w:val="0"/>
          <w:i w:val="0"/>
        </w:rPr>
        <w:t>вестибулопластику</w:t>
      </w:r>
    </w:p>
    <w:p>
      <w:pPr>
        <w:tabs>
          <w:tab w:pos="490" w:val="left"/>
        </w:tabs>
        <w:spacing w:after="60"/>
        <w:ind w:left="490" w:hanging="490"/>
      </w:pPr>
      <w:r>
        <w:rPr>
          <w:b/>
        </w:rPr>
        <w:t>4.</w:t>
      </w:r>
      <w:r>
        <w:tab/>
      </w:r>
      <w:r>
        <w:rPr>
          <w:b w:val="0"/>
          <w:i w:val="0"/>
        </w:rPr>
        <w:t>лоскутную операцию</w:t>
      </w:r>
    </w:p>
    <w:p>
      <w:pPr>
        <w:ind w:left="288"/>
      </w:pPr>
      <w:r>
        <w:rPr>
          <w:b/>
          <w:color w:val="173C49"/>
        </w:rPr>
        <w:t xml:space="preserve">Правильный ответ: </w:t>
      </w:r>
      <w:r>
        <w:rPr>
          <w:b/>
          <w:i w:val="0"/>
        </w:rPr>
        <w:t>2 — обучение методам индивидуальной гигиены рта</w:t>
      </w:r>
    </w:p>
    <w:p>
      <w:pPr>
        <w:ind w:left="504"/>
      </w:pPr>
      <w:r>
        <w:rPr>
          <w:b w:val="0"/>
          <w:i/>
        </w:rPr>
        <w:t>Микробный налёт поддерживает воспаление десневого края.</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29">
        <w:r>
          <w:rPr>
            <w:color w:val="173C49"/>
            <w:u w:val="single"/>
          </w:rPr>
          <w:t>(1)</w:t>
        </w:r>
      </w:hyperlink>
    </w:p>
    <w:p>
      <w:pPr>
        <w:pStyle w:val="Heading3"/>
        <w:keepNext/>
      </w:pPr>
      <w:r>
        <w:rPr>
          <w:b/>
          <w:color w:val="173C49"/>
        </w:rPr>
        <w:t>Вопрос 6.</w:t>
      </w:r>
    </w:p>
    <w:p>
      <w:pPr>
        <w:keepNext/>
      </w:pPr>
      <w:r>
        <w:rPr>
          <w:b w:val="0"/>
          <w:i w:val="0"/>
        </w:rPr>
        <w:t>Основу терапии в данной клинической ситуации составляют</w:t>
      </w:r>
    </w:p>
    <w:p>
      <w:pPr>
        <w:tabs>
          <w:tab w:pos="490" w:val="left"/>
        </w:tabs>
        <w:spacing w:after="60"/>
        <w:ind w:left="490" w:hanging="490"/>
      </w:pPr>
      <w:r>
        <w:rPr>
          <w:b/>
        </w:rPr>
        <w:t>1.</w:t>
      </w:r>
      <w:r>
        <w:tab/>
      </w:r>
      <w:r>
        <w:rPr>
          <w:b w:val="0"/>
          <w:i w:val="0"/>
        </w:rPr>
        <w:t>витамины</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7"/>
                    <a:stretch>
                      <a:fillRect/>
                    </a:stretch>
                  </pic:blipFill>
                  <pic:spPr>
                    <a:xfrm>
                      <a:off x="0" y="0"/>
                      <a:ext cx="214884" cy="214884"/>
                    </a:xfrm>
                    <a:prstGeom prst="rect"/>
                  </pic:spPr>
                </pic:pic>
              </a:graphicData>
            </a:graphic>
          </wp:inline>
        </w:drawing>
      </w:r>
      <w:r>
        <w:tab/>
      </w:r>
      <w:r>
        <w:rPr>
          <w:b w:val="0"/>
          <w:i w:val="0"/>
        </w:rPr>
        <w:t>антисептические препараты</w:t>
      </w:r>
    </w:p>
    <w:p>
      <w:pPr>
        <w:tabs>
          <w:tab w:pos="490" w:val="left"/>
        </w:tabs>
        <w:spacing w:after="60"/>
        <w:ind w:left="490" w:hanging="490"/>
      </w:pPr>
      <w:r>
        <w:rPr>
          <w:b/>
        </w:rPr>
        <w:t>3.</w:t>
      </w:r>
      <w:r>
        <w:tab/>
      </w:r>
      <w:r>
        <w:rPr>
          <w:b w:val="0"/>
          <w:i w:val="0"/>
        </w:rPr>
        <w:t>противогрибковые препараты</w:t>
      </w:r>
    </w:p>
    <w:p>
      <w:pPr>
        <w:tabs>
          <w:tab w:pos="490" w:val="left"/>
        </w:tabs>
        <w:spacing w:after="60"/>
        <w:ind w:left="490" w:hanging="490"/>
      </w:pPr>
      <w:r>
        <w:rPr>
          <w:b/>
        </w:rPr>
        <w:t>4.</w:t>
      </w:r>
      <w:r>
        <w:tab/>
      </w:r>
      <w:r>
        <w:rPr>
          <w:b w:val="0"/>
          <w:i w:val="0"/>
        </w:rPr>
        <w:t>антибиотики</w:t>
      </w:r>
    </w:p>
    <w:p>
      <w:pPr>
        <w:ind w:left="288"/>
      </w:pPr>
      <w:r>
        <w:rPr>
          <w:b/>
          <w:color w:val="173C49"/>
        </w:rPr>
        <w:t xml:space="preserve">Правильный ответ: </w:t>
      </w:r>
      <w:r>
        <w:rPr>
          <w:b/>
          <w:i w:val="0"/>
        </w:rPr>
        <w:t>2 — антисептические препараты</w:t>
      </w:r>
    </w:p>
    <w:p>
      <w:pPr>
        <w:ind w:left="504"/>
      </w:pPr>
      <w:r>
        <w:rPr>
          <w:b w:val="0"/>
          <w:i/>
        </w:rPr>
        <w:t>На сегодняшний день имеется довольно широкий выбор различных лекарственных средств, которые действуют на микроорганизмы. Основу в терапии гингивитов составляют антисептики. Они применяются в виде ротовых ванночек, аппликаций и ирригаций.</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 7.1.8. Характеристика алгоритмов и особенностей применения медикаментов).</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30">
        <w:r>
          <w:rPr>
            <w:color w:val="173C49"/>
            <w:u w:val="single"/>
          </w:rPr>
          <w:t>(1)</w:t>
        </w:r>
      </w:hyperlink>
    </w:p>
    <w:p>
      <w:pPr>
        <w:pStyle w:val="Heading3"/>
        <w:keepNext/>
      </w:pPr>
      <w:r>
        <w:rPr>
          <w:b/>
          <w:color w:val="173C49"/>
        </w:rPr>
        <w:t>Вопрос 7.</w:t>
      </w:r>
    </w:p>
    <w:p>
      <w:pPr>
        <w:keepNext/>
      </w:pPr>
      <w:r>
        <w:rPr>
          <w:b w:val="0"/>
          <w:i w:val="0"/>
        </w:rPr>
        <w:t>При местном лечении данного заболевания назначают противовоспалительные и _____ гели</w:t>
      </w:r>
    </w:p>
    <w:p>
      <w:pPr>
        <w:tabs>
          <w:tab w:pos="490" w:val="left"/>
        </w:tabs>
        <w:spacing w:after="60"/>
        <w:ind w:left="490" w:hanging="490"/>
      </w:pPr>
      <w:r>
        <w:rPr>
          <w:b/>
        </w:rPr>
        <w:t>1.</w:t>
      </w:r>
      <w:r>
        <w:tab/>
      </w:r>
      <w:r>
        <w:rPr>
          <w:b w:val="0"/>
          <w:i w:val="0"/>
        </w:rPr>
        <w:t>антигистаминные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7"/>
                    <a:stretch>
                      <a:fillRect/>
                    </a:stretch>
                  </pic:blipFill>
                  <pic:spPr>
                    <a:xfrm>
                      <a:off x="0" y="0"/>
                      <a:ext cx="214884" cy="214884"/>
                    </a:xfrm>
                    <a:prstGeom prst="rect"/>
                  </pic:spPr>
                </pic:pic>
              </a:graphicData>
            </a:graphic>
          </wp:inline>
        </w:drawing>
      </w:r>
      <w:r>
        <w:tab/>
      </w:r>
      <w:r>
        <w:rPr>
          <w:b w:val="0"/>
          <w:i w:val="0"/>
        </w:rPr>
        <w:t>антибактериальные</w:t>
      </w:r>
    </w:p>
    <w:p>
      <w:pPr>
        <w:tabs>
          <w:tab w:pos="490" w:val="left"/>
        </w:tabs>
        <w:spacing w:after="60"/>
        <w:ind w:left="490" w:hanging="490"/>
      </w:pPr>
      <w:r>
        <w:rPr>
          <w:b/>
        </w:rPr>
        <w:t>3.</w:t>
      </w:r>
      <w:r>
        <w:tab/>
      </w:r>
      <w:r>
        <w:rPr>
          <w:b w:val="0"/>
          <w:i w:val="0"/>
        </w:rPr>
        <w:t>противогрибковые</w:t>
      </w:r>
    </w:p>
    <w:p>
      <w:pPr>
        <w:tabs>
          <w:tab w:pos="490" w:val="left"/>
        </w:tabs>
        <w:spacing w:after="60"/>
        <w:ind w:left="490" w:hanging="490"/>
      </w:pPr>
      <w:r>
        <w:rPr>
          <w:b/>
        </w:rPr>
        <w:t>4.</w:t>
      </w:r>
      <w:r>
        <w:tab/>
      </w:r>
      <w:r>
        <w:rPr>
          <w:b w:val="0"/>
          <w:i w:val="0"/>
        </w:rPr>
        <w:t>кератопластические</w:t>
      </w:r>
    </w:p>
    <w:p>
      <w:pPr>
        <w:ind w:left="288"/>
      </w:pPr>
      <w:r>
        <w:rPr>
          <w:b/>
          <w:color w:val="173C49"/>
        </w:rPr>
        <w:t xml:space="preserve">Правильный ответ: </w:t>
      </w:r>
      <w:r>
        <w:rPr>
          <w:b/>
          <w:i w:val="0"/>
        </w:rPr>
        <w:t>2 — антибактериальные</w:t>
      </w:r>
    </w:p>
    <w:p>
      <w:pPr>
        <w:ind w:left="504"/>
      </w:pPr>
      <w:r>
        <w:rPr>
          <w:b w:val="0"/>
          <w:i/>
        </w:rPr>
        <w:t>Противовоспалительные и антибактериальные гели оказывают влияние на пародонтопатогенную флору, снимая воспаление.</w:t>
        <w:br/>
        <w:br/>
        <w:t>Пародонтология: национальное руководство /под ред. О.О. Янушевича, Л.А. Дмитриевой. – 2 изд. перераб. и доп. – М.: ГЭОТАР-Медиа, 2018</w:t>
        <w:br/>
        <w:br/>
      </w:r>
      <w:hyperlink r:id="rId31">
        <w:r>
          <w:rPr>
            <w:color w:val="173C49"/>
            <w:u w:val="single"/>
          </w:rPr>
          <w:t>(1)</w:t>
        </w:r>
      </w:hyperlink>
    </w:p>
    <w:p>
      <w:pPr>
        <w:pStyle w:val="Heading3"/>
        <w:keepNext/>
      </w:pPr>
      <w:r>
        <w:rPr>
          <w:b/>
          <w:color w:val="173C49"/>
        </w:rPr>
        <w:t>Вопрос 8.</w:t>
      </w:r>
    </w:p>
    <w:p>
      <w:pPr>
        <w:keepNext/>
      </w:pPr>
      <w:r>
        <w:rPr>
          <w:b w:val="0"/>
          <w:i w:val="0"/>
        </w:rPr>
        <w:t>Для удаления налета и полирования поверхностей зубов при проведении профессиональной гигиены полости рта у пациентки используют</w:t>
      </w:r>
    </w:p>
    <w:p>
      <w:pPr>
        <w:tabs>
          <w:tab w:pos="490" w:val="left"/>
        </w:tabs>
        <w:spacing w:after="60"/>
        <w:ind w:left="490" w:hanging="490"/>
      </w:pPr>
      <w:r>
        <w:rPr>
          <w:b/>
        </w:rPr>
        <w:t>1.</w:t>
      </w:r>
      <w:r>
        <w:tab/>
      </w:r>
      <w:r>
        <w:rPr>
          <w:b w:val="0"/>
          <w:i w:val="0"/>
        </w:rPr>
        <w:t>керамические диски</w:t>
      </w:r>
    </w:p>
    <w:p>
      <w:pPr>
        <w:tabs>
          <w:tab w:pos="490" w:val="left"/>
        </w:tabs>
        <w:spacing w:after="60"/>
        <w:ind w:left="490" w:hanging="490"/>
      </w:pPr>
      <w:r>
        <w:rPr>
          <w:b/>
        </w:rPr>
        <w:t>2.</w:t>
      </w:r>
      <w:r>
        <w:tab/>
      </w:r>
      <w:r>
        <w:rPr>
          <w:b w:val="0"/>
          <w:i w:val="0"/>
        </w:rPr>
        <w:t>ирригатор</w:t>
      </w:r>
    </w:p>
    <w:p>
      <w:pPr>
        <w:tabs>
          <w:tab w:pos="490" w:val="left"/>
        </w:tabs>
        <w:spacing w:after="60"/>
        <w:ind w:left="490" w:hanging="490"/>
      </w:pPr>
      <w:r>
        <w:rPr>
          <w:b/>
        </w:rPr>
        <w:t>3.</w:t>
      </w:r>
      <w:r>
        <w:tab/>
      </w:r>
      <w:r>
        <w:rPr>
          <w:b w:val="0"/>
          <w:i w:val="0"/>
        </w:rPr>
        <w:t>полировочные боры</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вращающиеся щеточки</w:t>
      </w:r>
    </w:p>
    <w:p>
      <w:pPr>
        <w:ind w:left="288"/>
      </w:pPr>
      <w:r>
        <w:rPr>
          <w:b/>
          <w:color w:val="173C49"/>
        </w:rPr>
        <w:t xml:space="preserve">Правильный ответ: </w:t>
      </w:r>
      <w:r>
        <w:rPr>
          <w:b/>
          <w:i w:val="0"/>
        </w:rPr>
        <w:t>4 — вращающиеся щеточки</w:t>
      </w:r>
    </w:p>
    <w:p>
      <w:pPr>
        <w:ind w:left="504"/>
      </w:pPr>
      <w:r>
        <w:rPr>
          <w:b w:val="0"/>
          <w:i/>
        </w:rPr>
        <w:t>Для удаления налета и полирования поверхностей зубов используют резиновые колпачки, вращающиеся щеточки, для жевательных поверхностей -, для контактных поверхностей - ершики, резиновые конусы, суперфлоссы, флоссы и абразивные штрипсы.</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3. Алгоритм профессиональной гигиены рта и зубов).</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32">
        <w:r>
          <w:rPr>
            <w:color w:val="173C49"/>
            <w:u w:val="single"/>
          </w:rPr>
          <w:t>(1)</w:t>
        </w:r>
      </w:hyperlink>
    </w:p>
    <w:p>
      <w:pPr>
        <w:pStyle w:val="Heading3"/>
        <w:keepNext/>
      </w:pPr>
      <w:r>
        <w:rPr>
          <w:b/>
          <w:color w:val="173C49"/>
        </w:rPr>
        <w:t>Вопрос 9.</w:t>
      </w:r>
    </w:p>
    <w:p>
      <w:pPr>
        <w:keepNext/>
      </w:pPr>
      <w:r>
        <w:rPr>
          <w:b w:val="0"/>
          <w:i w:val="0"/>
        </w:rPr>
        <w:t>При обработке поверхностей имплантатов у пациентки следует использовать пасты</w:t>
      </w:r>
    </w:p>
    <w:p>
      <w:pPr>
        <w:tabs>
          <w:tab w:pos="490" w:val="left"/>
        </w:tabs>
        <w:spacing w:after="60"/>
        <w:ind w:left="490" w:hanging="490"/>
      </w:pPr>
      <w:r>
        <w:rPr>
          <w:b/>
        </w:rPr>
        <w:t>1.</w:t>
      </w:r>
      <w:r>
        <w:tab/>
      </w:r>
      <w:r>
        <w:rPr>
          <w:b w:val="0"/>
          <w:i w:val="0"/>
        </w:rPr>
        <w:t>полировочные средней степени дисперсности</w:t>
      </w:r>
    </w:p>
    <w:p>
      <w:pPr>
        <w:tabs>
          <w:tab w:pos="490" w:val="left"/>
        </w:tabs>
        <w:spacing w:after="60"/>
        <w:ind w:left="490" w:hanging="490"/>
      </w:pPr>
      <w:r>
        <w:rPr>
          <w:b/>
        </w:rPr>
        <w:t>2.</w:t>
      </w:r>
      <w:r>
        <w:tab/>
      </w:r>
      <w:r>
        <w:rPr>
          <w:b w:val="0"/>
          <w:i w:val="0"/>
        </w:rPr>
        <w:t>полировочные без абразива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мелкодисперсные полировочные</w:t>
      </w:r>
    </w:p>
    <w:p>
      <w:pPr>
        <w:tabs>
          <w:tab w:pos="490" w:val="left"/>
        </w:tabs>
        <w:spacing w:after="60"/>
        <w:ind w:left="490" w:hanging="490"/>
      </w:pPr>
      <w:r>
        <w:rPr>
          <w:b/>
        </w:rPr>
        <w:t>4.</w:t>
      </w:r>
      <w:r>
        <w:tab/>
      </w:r>
      <w:r>
        <w:rPr>
          <w:b w:val="0"/>
          <w:i w:val="0"/>
        </w:rPr>
        <w:t>высокоабразивные</w:t>
      </w:r>
    </w:p>
    <w:p>
      <w:pPr>
        <w:ind w:left="288"/>
      </w:pPr>
      <w:r>
        <w:rPr>
          <w:b/>
          <w:color w:val="173C49"/>
        </w:rPr>
        <w:t xml:space="preserve">Правильный ответ: </w:t>
      </w:r>
      <w:r>
        <w:rPr>
          <w:b/>
          <w:i w:val="0"/>
        </w:rPr>
        <w:t>3 — мелкодисперсные полировочные</w:t>
      </w:r>
    </w:p>
    <w:p>
      <w:pPr>
        <w:ind w:left="504"/>
      </w:pPr>
      <w:r>
        <w:rPr>
          <w:b w:val="0"/>
          <w:i/>
        </w:rPr>
        <w:t>При обработке поверхностей имплантатов следует использовать мелкодисперсные полировочные пасты и резиновые колпачки.</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№3. Алгоритм профессиональной гигиены рта и зубов).</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32">
        <w:r>
          <w:rPr>
            <w:color w:val="173C49"/>
            <w:u w:val="single"/>
          </w:rPr>
          <w:t>(1)</w:t>
        </w:r>
      </w:hyperlink>
    </w:p>
    <w:p>
      <w:pPr>
        <w:pStyle w:val="Heading3"/>
        <w:keepNext/>
      </w:pPr>
      <w:r>
        <w:rPr>
          <w:b/>
          <w:color w:val="173C49"/>
        </w:rPr>
        <w:t>Вопрос 10.</w:t>
      </w:r>
    </w:p>
    <w:p>
      <w:pPr>
        <w:keepNext/>
      </w:pPr>
      <w:r>
        <w:rPr>
          <w:b w:val="0"/>
          <w:i w:val="0"/>
        </w:rPr>
        <w:t>В данной клинической ситуации проведение профессиональной гигиены полости рта и зубов показано минимум 1 раз в  (в месяцах)</w:t>
      </w:r>
    </w:p>
    <w:p>
      <w:pPr>
        <w:tabs>
          <w:tab w:pos="490" w:val="left"/>
        </w:tabs>
        <w:spacing w:after="60"/>
        <w:ind w:left="490" w:hanging="490"/>
      </w:pPr>
      <w:r>
        <w:rPr>
          <w:b/>
        </w:rPr>
        <w:t>1.</w:t>
      </w:r>
      <w:r>
        <w:tab/>
      </w:r>
      <w:r>
        <w:rPr>
          <w:b w:val="0"/>
          <w:i w:val="0"/>
        </w:rPr>
        <w:t>2</w:t>
      </w:r>
    </w:p>
    <w:p>
      <w:pPr>
        <w:tabs>
          <w:tab w:pos="490" w:val="left"/>
        </w:tabs>
        <w:spacing w:after="60"/>
        <w:ind w:left="490" w:hanging="490"/>
      </w:pPr>
      <w:r>
        <w:rPr>
          <w:b/>
        </w:rPr>
        <w:t>2.</w:t>
      </w:r>
      <w:r>
        <w:tab/>
      </w:r>
      <w:r>
        <w:rPr>
          <w:b w:val="0"/>
          <w:i w:val="0"/>
        </w:rPr>
        <w:t>24</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6</w:t>
      </w:r>
    </w:p>
    <w:p>
      <w:pPr>
        <w:tabs>
          <w:tab w:pos="490" w:val="left"/>
        </w:tabs>
        <w:spacing w:after="60"/>
        <w:ind w:left="490" w:hanging="490"/>
      </w:pPr>
      <w:r>
        <w:rPr>
          <w:b/>
        </w:rPr>
        <w:t>4.</w:t>
      </w:r>
      <w:r>
        <w:tab/>
      </w:r>
      <w:r>
        <w:rPr>
          <w:b w:val="0"/>
          <w:i w:val="0"/>
        </w:rPr>
        <w:t>12</w:t>
      </w:r>
    </w:p>
    <w:p>
      <w:pPr>
        <w:ind w:left="288"/>
      </w:pPr>
      <w:r>
        <w:rPr>
          <w:b/>
          <w:color w:val="173C49"/>
        </w:rPr>
        <w:t xml:space="preserve">Правильный ответ: </w:t>
      </w:r>
      <w:r>
        <w:rPr>
          <w:b/>
          <w:i w:val="0"/>
        </w:rPr>
        <w:t>3 — 6</w:t>
      </w:r>
    </w:p>
    <w:p>
      <w:pPr>
        <w:ind w:left="504"/>
      </w:pPr>
      <w:r>
        <w:rPr>
          <w:b w:val="0"/>
          <w:i/>
        </w:rPr>
        <w:t>Периодичность проведения профессиональной гигиены полости рта и зубов зависит от стоматологического статуса пациента (гигиенического состояния полости рта, интенсивности кариеса зубов, состояния тканей пародонта, наличия несъемной ортодонтической аппаратуры и стоматологических имплантатов). Минимальная периодичность проведения профессиональной гигиены – 1 раз в 6 месяцев.</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3. Алгоритм профессиональной гигиены рта и зубов).</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33">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В комплексном лечении хронического гингивита курс применения ополаскивателей с антисептиками составляет до (в днях)</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14</w:t>
      </w:r>
    </w:p>
    <w:p>
      <w:pPr>
        <w:tabs>
          <w:tab w:pos="490" w:val="left"/>
        </w:tabs>
        <w:spacing w:after="60"/>
        <w:ind w:left="490" w:hanging="490"/>
      </w:pPr>
      <w:r>
        <w:rPr>
          <w:b/>
        </w:rPr>
        <w:t>2.</w:t>
      </w:r>
      <w:r>
        <w:tab/>
      </w:r>
      <w:r>
        <w:rPr>
          <w:b w:val="0"/>
          <w:i w:val="0"/>
        </w:rPr>
        <w:t>90</w:t>
      </w:r>
    </w:p>
    <w:p>
      <w:pPr>
        <w:tabs>
          <w:tab w:pos="490" w:val="left"/>
        </w:tabs>
        <w:spacing w:after="60"/>
        <w:ind w:left="490" w:hanging="490"/>
      </w:pPr>
      <w:r>
        <w:rPr>
          <w:b/>
        </w:rPr>
        <w:t>3.</w:t>
      </w:r>
      <w:r>
        <w:tab/>
      </w:r>
      <w:r>
        <w:rPr>
          <w:b w:val="0"/>
          <w:i w:val="0"/>
        </w:rPr>
        <w:t>7</w:t>
      </w:r>
    </w:p>
    <w:p>
      <w:pPr>
        <w:tabs>
          <w:tab w:pos="490" w:val="left"/>
        </w:tabs>
        <w:spacing w:after="60"/>
        <w:ind w:left="490" w:hanging="490"/>
      </w:pPr>
      <w:r>
        <w:rPr>
          <w:b/>
        </w:rPr>
        <w:t>4.</w:t>
      </w:r>
      <w:r>
        <w:tab/>
      </w:r>
      <w:r>
        <w:rPr>
          <w:b w:val="0"/>
          <w:i w:val="0"/>
        </w:rPr>
        <w:t>5</w:t>
      </w:r>
    </w:p>
    <w:p>
      <w:pPr>
        <w:ind w:left="288"/>
      </w:pPr>
      <w:r>
        <w:rPr>
          <w:b/>
          <w:color w:val="173C49"/>
        </w:rPr>
        <w:t xml:space="preserve">Правильный ответ: </w:t>
      </w:r>
      <w:r>
        <w:rPr>
          <w:b/>
          <w:i w:val="0"/>
        </w:rPr>
        <w:t>1 — 14</w:t>
      </w:r>
    </w:p>
    <w:p>
      <w:pPr>
        <w:ind w:left="504"/>
      </w:pPr>
      <w:r>
        <w:rPr>
          <w:b w:val="0"/>
          <w:i/>
        </w:rPr>
        <w:t>Рекомендуемое использование ополаскивателей с экстрактами лекарственных растений или содержащими фиксированную комбинацию эфирных масел (тимол, ментол, эвкалиптол, метилсалицилат), антиоксидантами, антисептиками (курсовое применение – до 14 дней); зубные нити; ирригаторы (в режиме «душа»); бальзамы и тоники для десен.</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34">
        <w:r>
          <w:rPr>
            <w:color w:val="173C49"/>
            <w:u w:val="single"/>
          </w:rPr>
          <w:t>(1)</w:t>
        </w:r>
      </w:hyperlink>
    </w:p>
    <w:p>
      <w:pPr>
        <w:pStyle w:val="Heading3"/>
        <w:keepNext/>
      </w:pPr>
      <w:r>
        <w:rPr>
          <w:b/>
          <w:color w:val="173C49"/>
        </w:rPr>
        <w:t>Вопрос 12.</w:t>
      </w:r>
    </w:p>
    <w:p>
      <w:pPr>
        <w:keepNext/>
      </w:pPr>
      <w:r>
        <w:rPr>
          <w:b w:val="0"/>
          <w:i w:val="0"/>
        </w:rPr>
        <w:t>При проведении индивидуальной гигиены полости рта пациентке рекомендовано дополнительно использовать</w:t>
      </w:r>
    </w:p>
    <w:p>
      <w:pPr>
        <w:tabs>
          <w:tab w:pos="490" w:val="left"/>
        </w:tabs>
        <w:spacing w:after="60"/>
        <w:ind w:left="490" w:hanging="490"/>
      </w:pPr>
      <w:r>
        <w:rPr>
          <w:b/>
        </w:rPr>
        <w:t>1.</w:t>
      </w:r>
      <w:r>
        <w:tab/>
      </w:r>
      <w:r>
        <w:rPr>
          <w:b w:val="0"/>
          <w:i w:val="0"/>
        </w:rPr>
        <w:t>металлические пластины</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7"/>
                    <a:stretch>
                      <a:fillRect/>
                    </a:stretch>
                  </pic:blipFill>
                  <pic:spPr>
                    <a:xfrm>
                      <a:off x="0" y="0"/>
                      <a:ext cx="214884" cy="214884"/>
                    </a:xfrm>
                    <a:prstGeom prst="rect"/>
                  </pic:spPr>
                </pic:pic>
              </a:graphicData>
            </a:graphic>
          </wp:inline>
        </w:drawing>
      </w:r>
      <w:r>
        <w:tab/>
      </w:r>
      <w:r>
        <w:rPr>
          <w:b w:val="0"/>
          <w:i w:val="0"/>
        </w:rPr>
        <w:t>ирригатор</w:t>
      </w:r>
    </w:p>
    <w:p>
      <w:pPr>
        <w:tabs>
          <w:tab w:pos="490" w:val="left"/>
        </w:tabs>
        <w:spacing w:after="60"/>
        <w:ind w:left="490" w:hanging="490"/>
      </w:pPr>
      <w:r>
        <w:rPr>
          <w:b/>
        </w:rPr>
        <w:t>3.</w:t>
      </w:r>
      <w:r>
        <w:tab/>
      </w:r>
      <w:r>
        <w:rPr>
          <w:b w:val="0"/>
          <w:i w:val="0"/>
        </w:rPr>
        <w:t>пескоструйный аппарат</w:t>
      </w:r>
    </w:p>
    <w:p>
      <w:pPr>
        <w:tabs>
          <w:tab w:pos="490" w:val="left"/>
        </w:tabs>
        <w:spacing w:after="60"/>
        <w:ind w:left="490" w:hanging="490"/>
      </w:pPr>
      <w:r>
        <w:rPr>
          <w:b/>
        </w:rPr>
        <w:t>4.</w:t>
      </w:r>
      <w:r>
        <w:tab/>
      </w:r>
      <w:r>
        <w:rPr>
          <w:b w:val="0"/>
          <w:i w:val="0"/>
        </w:rPr>
        <w:t>полировочные диски</w:t>
      </w:r>
    </w:p>
    <w:p>
      <w:pPr>
        <w:ind w:left="288"/>
      </w:pPr>
      <w:r>
        <w:rPr>
          <w:b/>
          <w:color w:val="173C49"/>
        </w:rPr>
        <w:t xml:space="preserve">Правильный ответ: </w:t>
      </w:r>
      <w:r>
        <w:rPr>
          <w:b/>
          <w:i w:val="0"/>
        </w:rPr>
        <w:t>2 — ирригатор</w:t>
      </w:r>
    </w:p>
    <w:p>
      <w:pPr>
        <w:ind w:left="504"/>
      </w:pPr>
      <w:r>
        <w:rPr>
          <w:b w:val="0"/>
          <w:i/>
        </w:rPr>
        <w:t>Рекомендуемые средства гигиены рта: ирригаторы (в режиме «душа»), бальзамы и тоники для десен.</w:t>
        <w:br/>
        <w:br/>
        <w:t>КЛИНИЧЕСКИЕ РЕКОМЕНДАЦИИ (ПРОТОКОЛЫ ЛЕЧЕНИЯ) ПРИ ДИАГНОЗЕ ГИНГИВИТ.</w:t>
        <w:br/>
        <w:t>Утверждены Постановлением № 18 Совета Ассоциации общественных объединений «Стоматологическая Ассоциация России» от 30 сентября 2014 года, актуализированы 02 августа 2018 года (Приложение № 2. Общие рекомендации по подбору средств гигиены рта пациентам с гингивитом.)</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Гингивит, 2018 г.</w:t>
        </w:r>
      </w:hyperlink>
      <w:r>
        <w:rPr>
          <w:b w:val="0"/>
          <w:i/>
        </w:rPr>
        <w:t xml:space="preserve"> </w:t>
      </w:r>
      <w:hyperlink r:id="rId34">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Стоматология общей практики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5_gingivit_8aug2018/" TargetMode="External"/><Relationship Id="rId22" Type="http://schemas.openxmlformats.org/officeDocument/2006/relationships/hyperlink" Target="https://library.mededtech.ru/rest/documents/5_gingivit_8aug2018/index.html#7_1_3_&#1090;&#1088;&#1077;&#1073;&#1086;&#1074;&#1072;&#1085;&#1080;&#1103;_&#1082;_&#1076;&#1080;&#1072;&#1075;&#1085;&#1086;&#1089;&#1090;&#1080;&#1082;&#1077;_&#1072;&#1084;&#1073;&#1091;&#1083;&#1072;&#1090;&#1086;&#1088;&#1085;&#1086;_&#1087;&#1086;&#1083;&#1080;&#1082;&#1083;&#1080;&#1085;&#1080;&#1095;&#1077;&#1089;&#1082;&#1086;&#1081;" TargetMode="External"/><Relationship Id="rId23" Type="http://schemas.openxmlformats.org/officeDocument/2006/relationships/hyperlink" Target="https://library.mededtech.ru/rest/documents/5_gingivit_8aug2018/index.html#paragraph_0jr4d" TargetMode="External"/><Relationship Id="rId24" Type="http://schemas.openxmlformats.org/officeDocument/2006/relationships/image" Target="media/image6.png"/><Relationship Id="rId25" Type="http://schemas.openxmlformats.org/officeDocument/2006/relationships/hyperlink" Target="https://library.mededtech.ru/rest/documents/5_gingivit_8aug2018/index.html#table_rjrbo" TargetMode="External"/><Relationship Id="rId26" Type="http://schemas.openxmlformats.org/officeDocument/2006/relationships/hyperlink" Target="https://library.mededtech.ru/rest/documents/5_gingivit_8aug2018/index.html#7_1_&#1084;&#1086;&#1076;&#1077;&#1083;&#1100;_&#1087;&#1072;&#1094;&#1080;&#1077;&#1085;&#1090;&#1072;" TargetMode="External"/><Relationship Id="rId27" Type="http://schemas.openxmlformats.org/officeDocument/2006/relationships/image" Target="media/image7.png"/><Relationship Id="rId28" Type="http://schemas.openxmlformats.org/officeDocument/2006/relationships/hyperlink" Target="https://library.mededtech.ru/rest/documents/5_gingivit_8aug2018/index.html#list_item_uf2n8" TargetMode="External"/><Relationship Id="rId29" Type="http://schemas.openxmlformats.org/officeDocument/2006/relationships/hyperlink" Target="https://library.mededtech.ru/rest/documents/5_gingivit_8aug2018/index.html#list_item_ok8s5" TargetMode="External"/><Relationship Id="rId30" Type="http://schemas.openxmlformats.org/officeDocument/2006/relationships/hyperlink" Target="https://library.mededtech.ru/rest/documents/5_gingivit_8aug2018/index.html#paragraph_9c47i" TargetMode="External"/><Relationship Id="rId31" Type="http://schemas.openxmlformats.org/officeDocument/2006/relationships/hyperlink" Target="https://library.mededtech.ru/rest/documents/ISBN9785970443651/?anchor=list_item_9758s0#list_item_9758s0" TargetMode="External"/><Relationship Id="rId32" Type="http://schemas.openxmlformats.org/officeDocument/2006/relationships/hyperlink" Target="https://library.mededtech.ru/rest/documents/5_gingivit_8aug2018/index.html#paragraph_neuls" TargetMode="External"/><Relationship Id="rId33" Type="http://schemas.openxmlformats.org/officeDocument/2006/relationships/hyperlink" Target="https://library.mededtech.ru/rest/documents/5_gingivit_8aug2018/index.html#paragraph_uk3am" TargetMode="External"/><Relationship Id="rId34" Type="http://schemas.openxmlformats.org/officeDocument/2006/relationships/hyperlink" Target="https://library.mededtech.ru/rest/documents/5_gingivit_8aug2018/index.html#table_0k9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